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w:t>
      </w:r>
      <w:r w:rsidR="002B01A2">
        <w:rPr>
          <w:rFonts w:ascii="Garamond" w:hAnsi="Garamond"/>
          <w:b/>
          <w:i/>
          <w:color w:val="943634" w:themeColor="accent2" w:themeShade="BF"/>
          <w:sz w:val="22"/>
          <w:szCs w:val="22"/>
        </w:rPr>
        <w:t>20</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990141">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3" w:history="1">
        <w:r w:rsidRPr="008D30DE">
          <w:rPr>
            <w:rStyle w:val="Hypertextovodkaz"/>
            <w:rFonts w:ascii="Garamond" w:hAnsi="Garamond"/>
          </w:rPr>
          <w:t>vavra.michal@ksusk.cz</w:t>
        </w:r>
      </w:hyperlink>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 xml:space="preserve">Název akce: </w:t>
      </w:r>
      <w:r w:rsidR="003C30DE">
        <w:rPr>
          <w:rFonts w:ascii="Garamond" w:hAnsi="Garamond"/>
          <w:b/>
          <w:u w:val="single"/>
        </w:rPr>
        <w:t>Oprava mostu ev.č. 212 29 – 1 Chocovice</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E17DAB" w:rsidRDefault="00DF6323" w:rsidP="00E17DAB">
      <w:pPr>
        <w:tabs>
          <w:tab w:val="left" w:pos="3420"/>
          <w:tab w:val="left" w:pos="5220"/>
          <w:tab w:val="left" w:pos="6480"/>
          <w:tab w:val="left" w:pos="7560"/>
          <w:tab w:val="left" w:pos="8460"/>
        </w:tabs>
        <w:ind w:left="567" w:hanging="567"/>
        <w:rPr>
          <w:rFonts w:ascii="Garamond" w:hAnsi="Garamond"/>
          <w:bCs/>
          <w:color w:val="943634" w:themeColor="accent2" w:themeShade="BF"/>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970DBB" w:rsidRPr="008C73CC">
        <w:rPr>
          <w:rFonts w:ascii="Garamond" w:hAnsi="Garamond"/>
          <w:color w:val="943634" w:themeColor="accent2" w:themeShade="BF"/>
          <w:sz w:val="22"/>
        </w:rPr>
        <w:t xml:space="preserve">Předmětem Díla je </w:t>
      </w:r>
      <w:r w:rsidR="008C16F3" w:rsidRPr="008C73CC">
        <w:rPr>
          <w:rFonts w:ascii="Garamond" w:hAnsi="Garamond"/>
          <w:color w:val="943634" w:themeColor="accent2" w:themeShade="BF"/>
          <w:sz w:val="22"/>
        </w:rPr>
        <w:t>opra</w:t>
      </w:r>
      <w:r w:rsidR="003C30DE">
        <w:rPr>
          <w:rFonts w:ascii="Garamond" w:hAnsi="Garamond"/>
          <w:color w:val="943634" w:themeColor="accent2" w:themeShade="BF"/>
          <w:sz w:val="22"/>
        </w:rPr>
        <w:t>va mostu ev.č. 212 29 – 1 Chocovice</w:t>
      </w:r>
      <w:r w:rsidR="008C16F3" w:rsidRPr="008C73CC">
        <w:rPr>
          <w:rFonts w:ascii="Garamond" w:hAnsi="Garamond"/>
          <w:color w:val="943634" w:themeColor="accent2" w:themeShade="BF"/>
          <w:sz w:val="22"/>
        </w:rPr>
        <w:t>.</w:t>
      </w:r>
      <w:r w:rsidR="00970DBB" w:rsidRPr="008C73CC">
        <w:rPr>
          <w:rFonts w:ascii="Garamond" w:hAnsi="Garamond"/>
          <w:color w:val="943634" w:themeColor="accent2" w:themeShade="BF"/>
          <w:sz w:val="22"/>
        </w:rPr>
        <w:t xml:space="preserve"> </w:t>
      </w:r>
      <w:r w:rsidR="00970DBB" w:rsidRPr="008C73CC">
        <w:rPr>
          <w:rFonts w:ascii="Garamond" w:hAnsi="Garamond"/>
          <w:bCs/>
          <w:color w:val="943634" w:themeColor="accent2" w:themeShade="BF"/>
          <w:sz w:val="22"/>
          <w:szCs w:val="22"/>
        </w:rPr>
        <w:t xml:space="preserve">Jedná </w:t>
      </w:r>
      <w:r w:rsidR="008C16F3" w:rsidRPr="008C73CC">
        <w:rPr>
          <w:rFonts w:ascii="Garamond" w:hAnsi="Garamond"/>
          <w:bCs/>
          <w:color w:val="943634" w:themeColor="accent2" w:themeShade="BF"/>
          <w:sz w:val="22"/>
          <w:szCs w:val="22"/>
        </w:rPr>
        <w:t xml:space="preserve">se o opravu mostního objektů </w:t>
      </w:r>
      <w:r w:rsidR="00E17DAB">
        <w:rPr>
          <w:rFonts w:ascii="Garamond" w:hAnsi="Garamond"/>
          <w:bCs/>
          <w:color w:val="943634" w:themeColor="accent2" w:themeShade="BF"/>
          <w:sz w:val="22"/>
          <w:szCs w:val="22"/>
        </w:rPr>
        <w:t xml:space="preserve"> </w:t>
      </w:r>
      <w:r w:rsidR="008C16F3" w:rsidRPr="008C73CC">
        <w:rPr>
          <w:rFonts w:ascii="Garamond" w:hAnsi="Garamond"/>
          <w:bCs/>
          <w:color w:val="943634" w:themeColor="accent2" w:themeShade="BF"/>
          <w:sz w:val="22"/>
          <w:szCs w:val="22"/>
        </w:rPr>
        <w:t>v roz</w:t>
      </w:r>
      <w:r w:rsidR="008C16F3" w:rsidRPr="008C73CC">
        <w:rPr>
          <w:rFonts w:ascii="Garamond" w:hAnsi="Garamond"/>
          <w:color w:val="943634" w:themeColor="accent2" w:themeShade="BF"/>
          <w:sz w:val="22"/>
          <w:szCs w:val="22"/>
        </w:rPr>
        <w:t xml:space="preserve">ahu </w:t>
      </w:r>
      <w:r w:rsidR="00E17DAB">
        <w:rPr>
          <w:rFonts w:ascii="Garamond" w:hAnsi="Garamond"/>
          <w:color w:val="943634" w:themeColor="accent2" w:themeShade="BF"/>
          <w:sz w:val="22"/>
          <w:szCs w:val="22"/>
        </w:rPr>
        <w:t xml:space="preserve">     </w:t>
      </w:r>
      <w:r w:rsidR="008C16F3" w:rsidRPr="008C73CC">
        <w:rPr>
          <w:rFonts w:ascii="Garamond" w:hAnsi="Garamond"/>
          <w:color w:val="943634" w:themeColor="accent2" w:themeShade="BF"/>
          <w:sz w:val="22"/>
          <w:szCs w:val="22"/>
        </w:rPr>
        <w:t>specifikovaném zadávací dokumentací ve Výzvě k podání nabídky na veřejnou zakázku malého rozsahu</w:t>
      </w:r>
      <w:r w:rsidR="00E17DAB">
        <w:rPr>
          <w:rFonts w:ascii="Garamond" w:hAnsi="Garamond"/>
          <w:color w:val="943634" w:themeColor="accent2" w:themeShade="BF"/>
          <w:sz w:val="22"/>
          <w:szCs w:val="22"/>
        </w:rPr>
        <w:t xml:space="preserve"> (</w:t>
      </w:r>
      <w:r w:rsidR="00E17DAB">
        <w:rPr>
          <w:rFonts w:ascii="Garamond" w:hAnsi="Garamond"/>
          <w:bCs/>
          <w:color w:val="943634" w:themeColor="accent2" w:themeShade="BF"/>
          <w:sz w:val="22"/>
          <w:szCs w:val="22"/>
        </w:rPr>
        <w:t>viz.Technický popis</w:t>
      </w:r>
      <w:r w:rsidR="00E17DAB" w:rsidRPr="008C16F3">
        <w:rPr>
          <w:rFonts w:ascii="Garamond" w:hAnsi="Garamond"/>
          <w:bCs/>
          <w:color w:val="943634" w:themeColor="accent2" w:themeShade="BF"/>
          <w:sz w:val="22"/>
          <w:szCs w:val="22"/>
        </w:rPr>
        <w:t xml:space="preserve"> stavebních úprav a </w:t>
      </w:r>
      <w:r w:rsidR="00E17DAB">
        <w:rPr>
          <w:rFonts w:ascii="Garamond" w:hAnsi="Garamond"/>
          <w:bCs/>
          <w:color w:val="943634" w:themeColor="accent2" w:themeShade="BF"/>
          <w:sz w:val="22"/>
          <w:szCs w:val="22"/>
        </w:rPr>
        <w:t>Výkaz</w:t>
      </w:r>
      <w:r w:rsidR="00E17DAB" w:rsidRPr="008C16F3">
        <w:rPr>
          <w:rFonts w:ascii="Garamond" w:hAnsi="Garamond"/>
          <w:bCs/>
          <w:color w:val="943634" w:themeColor="accent2" w:themeShade="BF"/>
          <w:sz w:val="22"/>
          <w:szCs w:val="22"/>
        </w:rPr>
        <w:t xml:space="preserve"> výměr</w:t>
      </w:r>
      <w:r w:rsidR="00E17DAB">
        <w:rPr>
          <w:rFonts w:ascii="Garamond" w:hAnsi="Garamond"/>
          <w:bCs/>
          <w:color w:val="943634" w:themeColor="accent2" w:themeShade="BF"/>
          <w:sz w:val="22"/>
          <w:szCs w:val="22"/>
        </w:rPr>
        <w:t>).</w:t>
      </w:r>
    </w:p>
    <w:p w:rsidR="001B45D4" w:rsidRPr="001B45D4" w:rsidRDefault="001B45D4" w:rsidP="001B45D4">
      <w:pPr>
        <w:tabs>
          <w:tab w:val="left" w:pos="5220"/>
          <w:tab w:val="left" w:pos="6480"/>
          <w:tab w:val="left" w:pos="7560"/>
          <w:tab w:val="left" w:pos="8460"/>
        </w:tabs>
        <w:ind w:left="567"/>
        <w:jc w:val="both"/>
        <w:outlineLvl w:val="0"/>
        <w:rPr>
          <w:rFonts w:ascii="Garamond" w:hAnsi="Garamond"/>
          <w:bCs/>
          <w:color w:val="943634" w:themeColor="accent2" w:themeShade="BF"/>
        </w:rPr>
      </w:pPr>
      <w:r w:rsidRPr="001B45D4">
        <w:rPr>
          <w:rFonts w:ascii="Garamond" w:hAnsi="Garamond"/>
          <w:bCs/>
          <w:color w:val="943634" w:themeColor="accent2" w:themeShade="BF"/>
          <w:sz w:val="22"/>
          <w:szCs w:val="22"/>
        </w:rPr>
        <w:t>Předmětem plnění veřejné zakázky je kompletní výměna dřevěné dvouvrstvé mostovky. Nové mostiny budou z modřínu a budou opatřeny ochranným impregnačním nátěrem. Součástí díla je i kontrola, případné doplnění, narovnání a dotažení veškerého spojovacího materiálu ocelové konstrukce typu BB (čepy, šrouby, svorníky, matice …) a protikorozní nátěr a očištění horních ploch příčníků a podélníků</w:t>
      </w:r>
      <w:r w:rsidRPr="001B45D4">
        <w:rPr>
          <w:rFonts w:ascii="Garamond" w:hAnsi="Garamond"/>
          <w:bCs/>
          <w:color w:val="943634" w:themeColor="accent2" w:themeShade="BF"/>
        </w:rPr>
        <w:t>.</w:t>
      </w:r>
    </w:p>
    <w:p w:rsidR="003C30DE" w:rsidRPr="003C30DE" w:rsidRDefault="003C30DE" w:rsidP="003C30DE">
      <w:pPr>
        <w:tabs>
          <w:tab w:val="left" w:pos="5220"/>
          <w:tab w:val="left" w:pos="6480"/>
          <w:tab w:val="left" w:pos="7560"/>
          <w:tab w:val="left" w:pos="8460"/>
        </w:tabs>
        <w:ind w:left="567"/>
        <w:jc w:val="both"/>
        <w:outlineLvl w:val="0"/>
        <w:rPr>
          <w:rFonts w:ascii="Garamond" w:hAnsi="Garamond"/>
          <w:bCs/>
          <w:color w:val="943634" w:themeColor="accent2" w:themeShade="BF"/>
          <w:sz w:val="22"/>
          <w:szCs w:val="22"/>
        </w:rPr>
      </w:pPr>
      <w:r w:rsidRPr="003C30DE">
        <w:rPr>
          <w:rFonts w:ascii="Garamond" w:hAnsi="Garamond"/>
          <w:bCs/>
          <w:color w:val="943634" w:themeColor="accent2" w:themeShade="BF"/>
          <w:sz w:val="22"/>
          <w:szCs w:val="22"/>
        </w:rPr>
        <w:t xml:space="preserve">Realizace díla se předpokládá za částečné uzavírky.  </w:t>
      </w:r>
    </w:p>
    <w:p w:rsidR="003C30DE" w:rsidRPr="005D0FF0" w:rsidRDefault="003C30DE" w:rsidP="003C30DE">
      <w:pPr>
        <w:tabs>
          <w:tab w:val="left" w:pos="3420"/>
          <w:tab w:val="left" w:pos="5220"/>
          <w:tab w:val="left" w:pos="6480"/>
          <w:tab w:val="left" w:pos="7560"/>
          <w:tab w:val="left" w:pos="8460"/>
        </w:tabs>
        <w:jc w:val="both"/>
        <w:rPr>
          <w:bCs/>
          <w:color w:val="943634" w:themeColor="accent2" w:themeShade="BF"/>
          <w:sz w:val="22"/>
          <w:szCs w:val="22"/>
        </w:rPr>
      </w:pP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ev.č. </w:t>
      </w:r>
      <w:r w:rsidR="002B01A2">
        <w:rPr>
          <w:rFonts w:ascii="Garamond" w:hAnsi="Garamond"/>
          <w:color w:val="943634" w:themeColor="accent2" w:themeShade="BF"/>
          <w:sz w:val="22"/>
          <w:szCs w:val="22"/>
        </w:rPr>
        <w:t>……../MR/SÚ/2020</w:t>
      </w:r>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Pr="00774DE2" w:rsidRDefault="00377A54" w:rsidP="00B12BB4">
      <w:pPr>
        <w:spacing w:after="60"/>
        <w:ind w:left="567"/>
        <w:jc w:val="both"/>
        <w:rPr>
          <w:rFonts w:ascii="Garamond" w:hAnsi="Garamond"/>
          <w:sz w:val="22"/>
          <w:szCs w:val="22"/>
        </w:rPr>
      </w:pPr>
      <w:r>
        <w:rPr>
          <w:rFonts w:ascii="Garamond" w:hAnsi="Garamond"/>
          <w:sz w:val="22"/>
          <w:szCs w:val="22"/>
        </w:rPr>
        <w:t xml:space="preserve">  </w:t>
      </w: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BF4A21">
        <w:rPr>
          <w:rFonts w:ascii="Garamond" w:hAnsi="Garamond"/>
          <w:b/>
          <w:color w:val="943634" w:themeColor="accent2" w:themeShade="BF"/>
          <w:szCs w:val="22"/>
        </w:rPr>
        <w:t>04</w:t>
      </w:r>
      <w:r w:rsidR="002B01A2">
        <w:rPr>
          <w:rFonts w:ascii="Garamond" w:hAnsi="Garamond"/>
          <w:b/>
          <w:color w:val="943634" w:themeColor="accent2" w:themeShade="BF"/>
          <w:szCs w:val="22"/>
        </w:rPr>
        <w:t>/2020</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847934">
        <w:rPr>
          <w:rFonts w:ascii="Garamond" w:hAnsi="Garamond"/>
          <w:b/>
          <w:color w:val="943634" w:themeColor="accent2" w:themeShade="BF"/>
          <w:szCs w:val="22"/>
        </w:rPr>
        <w:t>31</w:t>
      </w:r>
      <w:r w:rsidR="000A4A99" w:rsidRPr="009A2778">
        <w:rPr>
          <w:rFonts w:ascii="Garamond" w:hAnsi="Garamond"/>
          <w:b/>
          <w:color w:val="943634" w:themeColor="accent2" w:themeShade="BF"/>
          <w:szCs w:val="22"/>
        </w:rPr>
        <w:t>.0</w:t>
      </w:r>
      <w:r w:rsidR="008C16F3">
        <w:rPr>
          <w:rFonts w:ascii="Garamond" w:hAnsi="Garamond"/>
          <w:b/>
          <w:color w:val="943634" w:themeColor="accent2" w:themeShade="BF"/>
          <w:szCs w:val="22"/>
        </w:rPr>
        <w:t>8</w:t>
      </w:r>
      <w:r w:rsidR="00554618" w:rsidRPr="009A2778">
        <w:rPr>
          <w:rFonts w:ascii="Garamond" w:hAnsi="Garamond"/>
          <w:b/>
          <w:color w:val="943634" w:themeColor="accent2" w:themeShade="BF"/>
          <w:szCs w:val="22"/>
        </w:rPr>
        <w:t>.20</w:t>
      </w:r>
      <w:r w:rsidR="002B01A2">
        <w:rPr>
          <w:rFonts w:ascii="Garamond" w:hAnsi="Garamond"/>
          <w:b/>
          <w:color w:val="943634" w:themeColor="accent2" w:themeShade="BF"/>
          <w:szCs w:val="22"/>
        </w:rPr>
        <w:t>20</w:t>
      </w:r>
      <w:r w:rsidRPr="009A2778">
        <w:rPr>
          <w:rFonts w:ascii="Garamond" w:hAnsi="Garamond"/>
          <w:color w:val="943634" w:themeColor="accent2" w:themeShade="BF"/>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9A2778" w:rsidRDefault="00345C89" w:rsidP="006C3316">
      <w:pPr>
        <w:pStyle w:val="Zkladntext2"/>
        <w:numPr>
          <w:ilvl w:val="0"/>
          <w:numId w:val="8"/>
        </w:numPr>
        <w:ind w:hanging="720"/>
        <w:rPr>
          <w:rFonts w:ascii="Garamond" w:hAnsi="Garamond"/>
          <w:color w:val="943634" w:themeColor="accent2" w:themeShade="BF"/>
          <w:szCs w:val="22"/>
        </w:rPr>
      </w:pPr>
      <w:r w:rsidRPr="009A2778">
        <w:rPr>
          <w:rFonts w:ascii="Garamond" w:hAnsi="Garamond"/>
          <w:color w:val="943634" w:themeColor="accent2" w:themeShade="BF"/>
          <w:szCs w:val="22"/>
        </w:rPr>
        <w:t>Cena za provedení Díla dle této smlouvy činí dle dohody smluvních stran:</w:t>
      </w:r>
    </w:p>
    <w:p w:rsidR="00345C89" w:rsidRPr="009A2778" w:rsidRDefault="00345C89" w:rsidP="00661990">
      <w:pPr>
        <w:pStyle w:val="BodyText21"/>
        <w:widowControl/>
        <w:numPr>
          <w:ilvl w:val="12"/>
          <w:numId w:val="0"/>
        </w:numPr>
        <w:rPr>
          <w:rFonts w:ascii="Garamond" w:hAnsi="Garamond"/>
          <w:b/>
          <w:color w:val="943634" w:themeColor="accent2" w:themeShade="BF"/>
          <w:szCs w:val="22"/>
        </w:rPr>
      </w:pPr>
      <w:r w:rsidRPr="009A2778">
        <w:rPr>
          <w:rFonts w:ascii="Garamond" w:hAnsi="Garamond"/>
          <w:color w:val="943634" w:themeColor="accent2" w:themeShade="BF"/>
          <w:szCs w:val="22"/>
        </w:rPr>
        <w:t xml:space="preserve">            </w:t>
      </w:r>
      <w:r w:rsidRPr="009A2778">
        <w:rPr>
          <w:rFonts w:ascii="Garamond" w:hAnsi="Garamond"/>
          <w:b/>
          <w:color w:val="943634" w:themeColor="accent2" w:themeShade="BF"/>
          <w:szCs w:val="22"/>
        </w:rPr>
        <w:t xml:space="preserve">Cena celkem bez DPH </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21 % DPH</w:t>
      </w:r>
      <w:r w:rsidR="00D0239B"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 xml:space="preserve"> </w:t>
      </w:r>
      <w:r w:rsidR="00C006CA" w:rsidRPr="009A2778">
        <w:rPr>
          <w:rFonts w:ascii="Garamond" w:hAnsi="Garamond"/>
          <w:b/>
          <w:color w:val="943634" w:themeColor="accent2" w:themeShade="BF"/>
          <w:szCs w:val="22"/>
        </w:rPr>
        <w:t xml:space="preserve">  </w:t>
      </w:r>
      <w:r w:rsidR="001013D9" w:rsidRPr="009A2778">
        <w:rPr>
          <w:rFonts w:ascii="Garamond" w:hAnsi="Garamond"/>
          <w:b/>
          <w:color w:val="943634" w:themeColor="accent2" w:themeShade="BF"/>
          <w:szCs w:val="22"/>
        </w:rPr>
        <w:t>………………………………</w:t>
      </w:r>
      <w:r w:rsidR="00C006CA" w:rsidRPr="009A2778">
        <w:rPr>
          <w:rFonts w:ascii="Garamond" w:hAnsi="Garamond"/>
          <w:b/>
          <w:color w:val="943634" w:themeColor="accent2" w:themeShade="BF"/>
          <w:szCs w:val="22"/>
        </w:rPr>
        <w:t xml:space="preserve"> </w:t>
      </w:r>
      <w:r w:rsidRPr="009A2778">
        <w:rPr>
          <w:rFonts w:ascii="Garamond" w:hAnsi="Garamond"/>
          <w:b/>
          <w:color w:val="943634" w:themeColor="accent2" w:themeShade="BF"/>
          <w:szCs w:val="22"/>
        </w:rPr>
        <w:t>Kč</w:t>
      </w:r>
    </w:p>
    <w:p w:rsidR="00C006CA" w:rsidRPr="009A277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9A2778">
        <w:rPr>
          <w:rFonts w:ascii="Garamond" w:hAnsi="Garamond"/>
          <w:b/>
          <w:color w:val="943634" w:themeColor="accent2" w:themeShade="BF"/>
          <w:szCs w:val="22"/>
        </w:rPr>
        <w:t xml:space="preserve">slovy: </w:t>
      </w:r>
    </w:p>
    <w:p w:rsidR="00345C89" w:rsidRPr="009A277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Cena vč. DPH </w:t>
      </w:r>
      <w:r w:rsidR="00D0239B"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 </w:t>
      </w:r>
      <w:r w:rsidR="001013D9" w:rsidRPr="009A2778">
        <w:rPr>
          <w:rFonts w:ascii="Garamond" w:hAnsi="Garamond"/>
          <w:b/>
          <w:color w:val="943634" w:themeColor="accent2" w:themeShade="BF"/>
          <w:sz w:val="22"/>
          <w:szCs w:val="22"/>
        </w:rPr>
        <w:t>………………………………..</w:t>
      </w:r>
      <w:r w:rsidR="00C006CA" w:rsidRPr="009A2778">
        <w:rPr>
          <w:rFonts w:ascii="Garamond" w:hAnsi="Garamond"/>
          <w:b/>
          <w:color w:val="943634" w:themeColor="accent2" w:themeShade="BF"/>
          <w:sz w:val="22"/>
          <w:szCs w:val="22"/>
        </w:rPr>
        <w:t xml:space="preserve"> </w:t>
      </w:r>
      <w:r w:rsidRPr="009A2778">
        <w:rPr>
          <w:rFonts w:ascii="Garamond" w:hAnsi="Garamond"/>
          <w:b/>
          <w:color w:val="943634" w:themeColor="accent2" w:themeShade="BF"/>
          <w:sz w:val="22"/>
          <w:szCs w:val="22"/>
        </w:rPr>
        <w:t xml:space="preserve">Kč </w:t>
      </w:r>
    </w:p>
    <w:p w:rsidR="00C006CA" w:rsidRPr="009A277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9A2778">
        <w:rPr>
          <w:rFonts w:ascii="Garamond" w:hAnsi="Garamond"/>
          <w:b/>
          <w:color w:val="943634" w:themeColor="accent2" w:themeShade="BF"/>
          <w:sz w:val="22"/>
          <w:szCs w:val="22"/>
        </w:rPr>
        <w:t xml:space="preserve">slovy: </w:t>
      </w:r>
    </w:p>
    <w:p w:rsidR="00345C89" w:rsidRPr="009A2778" w:rsidRDefault="00345C89" w:rsidP="006A7A78">
      <w:pPr>
        <w:spacing w:before="100"/>
        <w:ind w:left="720" w:hanging="153"/>
        <w:jc w:val="both"/>
        <w:rPr>
          <w:rFonts w:ascii="Garamond" w:hAnsi="Garamond"/>
          <w:color w:val="943634" w:themeColor="accent2" w:themeShade="BF"/>
          <w:sz w:val="22"/>
          <w:szCs w:val="22"/>
        </w:rPr>
      </w:pPr>
      <w:r w:rsidRPr="009A2778">
        <w:rPr>
          <w:rFonts w:ascii="Garamond" w:hAnsi="Garamond"/>
          <w:iCs/>
          <w:color w:val="943634" w:themeColor="accent2" w:themeShade="BF"/>
          <w:sz w:val="22"/>
          <w:szCs w:val="22"/>
        </w:rPr>
        <w:lastRenderedPageBreak/>
        <w:t>dále jen „</w:t>
      </w:r>
      <w:r w:rsidRPr="009A2778">
        <w:rPr>
          <w:rFonts w:ascii="Garamond" w:hAnsi="Garamond"/>
          <w:b/>
          <w:iCs/>
          <w:color w:val="943634" w:themeColor="accent2" w:themeShade="BF"/>
          <w:sz w:val="22"/>
          <w:szCs w:val="22"/>
        </w:rPr>
        <w:t>Cena za provedení Díla</w:t>
      </w:r>
      <w:r w:rsidRPr="009A277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 na stavební práce</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B12BB4" w:rsidRPr="00361063" w:rsidRDefault="00B12BB4" w:rsidP="00B12BB4">
      <w:pPr>
        <w:ind w:left="705" w:hanging="705"/>
        <w:jc w:val="both"/>
        <w:rPr>
          <w:rFonts w:ascii="Garamond" w:hAnsi="Garamond"/>
          <w:sz w:val="22"/>
          <w:szCs w:val="22"/>
        </w:rPr>
      </w:pPr>
      <w:r w:rsidRPr="00361063">
        <w:rPr>
          <w:rFonts w:ascii="Garamond" w:hAnsi="Garamond"/>
          <w:sz w:val="22"/>
          <w:szCs w:val="22"/>
        </w:rPr>
        <w:t xml:space="preserve">Přílohy uložené v písemné podobě u zadavatele: </w:t>
      </w:r>
    </w:p>
    <w:p w:rsidR="00B12BB4" w:rsidRPr="00361063" w:rsidRDefault="00B12BB4" w:rsidP="00B12BB4">
      <w:pPr>
        <w:ind w:left="705" w:hanging="705"/>
        <w:jc w:val="both"/>
        <w:rPr>
          <w:rFonts w:ascii="Garamond" w:hAnsi="Garamond"/>
          <w:sz w:val="22"/>
          <w:szCs w:val="22"/>
        </w:rPr>
      </w:pPr>
      <w:r w:rsidRPr="00361063">
        <w:rPr>
          <w:rFonts w:ascii="Garamond" w:hAnsi="Garamond"/>
          <w:sz w:val="22"/>
          <w:szCs w:val="22"/>
        </w:rPr>
        <w:t>a) Zadávací řízení č. ……/MR/</w:t>
      </w:r>
      <w:r>
        <w:rPr>
          <w:rFonts w:ascii="Garamond" w:hAnsi="Garamond"/>
          <w:sz w:val="22"/>
          <w:szCs w:val="22"/>
        </w:rPr>
        <w:t>SÚ/</w:t>
      </w:r>
      <w:r w:rsidRPr="00361063">
        <w:rPr>
          <w:rFonts w:ascii="Garamond" w:hAnsi="Garamond"/>
          <w:sz w:val="22"/>
          <w:szCs w:val="22"/>
        </w:rPr>
        <w:t>2020</w:t>
      </w:r>
    </w:p>
    <w:p w:rsidR="00B12BB4" w:rsidRPr="00361063" w:rsidRDefault="00B12BB4" w:rsidP="00B12BB4">
      <w:pPr>
        <w:ind w:left="705" w:hanging="705"/>
        <w:jc w:val="both"/>
        <w:rPr>
          <w:rFonts w:ascii="Garamond" w:hAnsi="Garamond"/>
          <w:sz w:val="22"/>
          <w:szCs w:val="22"/>
        </w:rPr>
      </w:pPr>
      <w:r w:rsidRPr="00361063">
        <w:rPr>
          <w:rFonts w:ascii="Garamond" w:hAnsi="Garamond"/>
          <w:sz w:val="22"/>
          <w:szCs w:val="22"/>
        </w:rPr>
        <w:t>b) Zadávací dokumentace (včetně všech příloh)</w:t>
      </w:r>
      <w:bookmarkStart w:id="1" w:name="_GoBack"/>
      <w:bookmarkEnd w:id="1"/>
    </w:p>
    <w:p w:rsidR="00B12BB4" w:rsidRPr="00801289" w:rsidRDefault="00B12BB4" w:rsidP="00B12BB4">
      <w:pPr>
        <w:ind w:left="705" w:hanging="705"/>
        <w:jc w:val="both"/>
        <w:rPr>
          <w:rFonts w:ascii="Garamond" w:hAnsi="Garamond"/>
          <w:sz w:val="22"/>
          <w:szCs w:val="22"/>
        </w:rPr>
      </w:pPr>
      <w:r w:rsidRPr="00361063">
        <w:rPr>
          <w:rFonts w:ascii="Garamond" w:hAnsi="Garamond"/>
          <w:sz w:val="22"/>
          <w:szCs w:val="22"/>
        </w:rPr>
        <w:t>c) 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B12BB4">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45D4"/>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C30DE"/>
    <w:rsid w:val="003D3B82"/>
    <w:rsid w:val="003E1730"/>
    <w:rsid w:val="00405C2C"/>
    <w:rsid w:val="00413A48"/>
    <w:rsid w:val="004170E3"/>
    <w:rsid w:val="0042345A"/>
    <w:rsid w:val="004357CF"/>
    <w:rsid w:val="00435E80"/>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2BB4"/>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75321"/>
    <w:rsid w:val="00E83803"/>
    <w:rsid w:val="00E85F8E"/>
    <w:rsid w:val="00EA5003"/>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6F48D"/>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 w:id="17909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vra.micha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68159D-E94B-4BA1-B9BE-EC66470F1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11</Pages>
  <Words>6255</Words>
  <Characters>36909</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40</cp:revision>
  <cp:lastPrinted>2013-05-13T13:19:00Z</cp:lastPrinted>
  <dcterms:created xsi:type="dcterms:W3CDTF">2018-03-14T06:45:00Z</dcterms:created>
  <dcterms:modified xsi:type="dcterms:W3CDTF">2020-04-08T09:24:00Z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